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740FBA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740FBA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740FBA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740FBA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740FBA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740FBA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740FBA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740FBA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022522" w:rsidRPr="007C2E55" w:rsidRDefault="00740FBA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740FBA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740FBA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F63D8F" w:rsidRDefault="00F63D8F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740FBA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740FBA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740FBA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740FBA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740FBA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740FBA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740FB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740FBA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740FBA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740FBA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740FBA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(Tehnology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bookmarkStart w:id="0" w:name="_GoBack"/>
          <w:bookmarkEnd w:id="0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740FBA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740FBA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740FBA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740FBA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740FBA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740FBA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740FBA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740FBA" w:rsidP="001D6638">
      <w:pPr>
        <w:pStyle w:val="NormalWe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740FBA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EndPr/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lastRenderedPageBreak/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740FBA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740FBA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1FD82473E3C4AC994093B244B58EC9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740FBA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740FBA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740FBA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C7162C74ADD4D0DBDA43662C65355B5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7D933009BAA0461CB5555E85AD5550D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266E83DDDED4F8FB7224C43D2800B8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03A583E112CE46168C24A88537E38D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A3D" w:rsidRDefault="00601A3D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740FBA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9BFC6FF5BC4340E295C12BE8570CECAC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740FBA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740FBA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740FBA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740FBA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843C65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843C65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843C65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843C65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843C65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843C65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843C65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740FBA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740FBA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740FBA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EB52B0" w:rsidRDefault="00740FBA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740FBA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740FBA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740FBA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F73263" w:rsidRDefault="00F73263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740FBA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740FBA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740FBA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740FBA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740FBA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lastRenderedPageBreak/>
                          <w:t>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lastRenderedPageBreak/>
                      <w:t>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740FBA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740FBA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740FBA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P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740FB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740FBA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740FBA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740FBA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740FBA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740FBA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740FBA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740FB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740FBA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740FBA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740FBA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BA" w:rsidRDefault="00740FBA">
      <w:r>
        <w:separator/>
      </w:r>
    </w:p>
  </w:endnote>
  <w:endnote w:type="continuationSeparator" w:id="0">
    <w:p w:rsidR="00740FBA" w:rsidRDefault="0074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5098DE3-6090-4CF0-9C0D-3FFC3CC9CB20}"/>
    <w:embedBold r:id="rId2" w:fontKey="{D770484C-8EAD-4EB6-93C7-21ACF8EC7A26}"/>
    <w:embedItalic r:id="rId3" w:fontKey="{EAD1E6B4-931C-4214-A4E2-161A9C3BFE4C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C62CF115-5414-4FCE-951B-E118394F696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80C1BF6E-5E0D-4181-A57F-A33DBC98C537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47529" w:rsidRPr="00707B53" w:rsidRDefault="00740FBA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547529">
              <w:rPr>
                <w:rFonts w:ascii="TH SarabunPSK" w:hAnsi="TH SarabunPSK" w:cs="TH SarabunPSK"/>
                <w:sz w:val="32"/>
              </w:rPr>
              <w:t>Template</w:t>
            </w:r>
            <w:r w:rsidR="00547529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547529">
              <w:rPr>
                <w:rFonts w:ascii="TH SarabunPSK" w:hAnsi="TH SarabunPSK" w:cs="TH SarabunPSK"/>
                <w:sz w:val="32"/>
              </w:rPr>
              <w:t>Research Program and Project  V1</w:t>
            </w:r>
            <w:r w:rsidR="00E14F2E">
              <w:rPr>
                <w:rFonts w:ascii="TH SarabunPSK" w:hAnsi="TH SarabunPSK" w:cs="TH SarabunPSK"/>
                <w:sz w:val="32"/>
              </w:rPr>
              <w:t>2</w:t>
            </w:r>
            <w:r w:rsidR="00547529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547529" w:rsidRPr="00707B53">
          <w:rPr>
            <w:rFonts w:ascii="TH SarabunPSK" w:hAnsi="TH SarabunPSK" w:cs="TH SarabunPSK"/>
            <w:sz w:val="32"/>
          </w:rPr>
          <w:t xml:space="preserve"> </w:t>
        </w:r>
        <w:r w:rsidR="00547529">
          <w:rPr>
            <w:rFonts w:ascii="TH SarabunPSK" w:hAnsi="TH SarabunPSK" w:cs="TH SarabunPSK"/>
            <w:sz w:val="32"/>
          </w:rPr>
          <w:t xml:space="preserve">  </w:t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 w:rsidRPr="00707B53">
          <w:rPr>
            <w:rFonts w:ascii="TH SarabunPSK" w:hAnsi="TH SarabunPSK" w:cs="TH SarabunPSK"/>
            <w:sz w:val="32"/>
          </w:rPr>
          <w:fldChar w:fldCharType="begin"/>
        </w:r>
        <w:r w:rsidR="00547529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547529" w:rsidRPr="00707B53">
          <w:rPr>
            <w:rFonts w:ascii="TH SarabunPSK" w:hAnsi="TH SarabunPSK" w:cs="TH SarabunPSK"/>
            <w:sz w:val="32"/>
          </w:rPr>
          <w:fldChar w:fldCharType="separate"/>
        </w:r>
        <w:r w:rsidR="00B20EDB">
          <w:rPr>
            <w:rFonts w:ascii="TH SarabunPSK" w:hAnsi="TH SarabunPSK" w:cs="TH SarabunPSK"/>
            <w:noProof/>
            <w:sz w:val="32"/>
          </w:rPr>
          <w:t>5</w:t>
        </w:r>
        <w:r w:rsidR="00547529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47529" w:rsidRDefault="00547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BA" w:rsidRDefault="00740FBA">
      <w:r>
        <w:separator/>
      </w:r>
    </w:p>
  </w:footnote>
  <w:footnote w:type="continuationSeparator" w:id="0">
    <w:p w:rsidR="00740FBA" w:rsidRDefault="0074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29" w:rsidRDefault="0054752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529" w:rsidRDefault="0054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547529" w:rsidRPr="00631FD4" w:rsidRDefault="00547529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</w:t>
            </w:r>
            <w:r w:rsidR="00385B20">
              <w:rPr>
                <w:rFonts w:ascii="TH SarabunPSK" w:hAnsi="TH SarabunPSK" w:cs="TH SarabunPSK" w:hint="cs"/>
                <w:cs/>
              </w:rPr>
              <w:t>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547529" w:rsidRDefault="005475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41D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C60"/>
    <w:rsid w:val="00740FBA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0E5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96288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0EDB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D95C7C-1F65-4F02-9AED-928D9FED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A55A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A55A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9A55A2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9A55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9A55A2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D3BFF2900854154BAD62DD3252A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D4F7-975D-4E84-85D9-5550C85348B0}"/>
      </w:docPartPr>
      <w:docPartBody>
        <w:p w:rsidR="008A2388" w:rsidRDefault="009A55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F44C5917287D43B69ECC63727CE3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4066-A0E7-4AA4-9B89-1F9E3F0D1C77}"/>
      </w:docPartPr>
      <w:docPartBody>
        <w:p w:rsidR="008A2388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9B8855A4C0B4DF091734DC5BAD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5BB7-5004-4A64-B816-94D8CC5A7529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F387F9643144A4DBF9FAE5F66D8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4487-E6B3-42E5-AB73-EFCA165098EF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41FD82473E3C4AC994093B244B58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124F-ADCC-4F25-A93A-5AD28782A7B2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C7162C74ADD4D0DBDA43662C65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9C7-C9B5-4D06-B228-52B837424A76}"/>
      </w:docPartPr>
      <w:docPartBody>
        <w:p w:rsidR="008A2388" w:rsidRDefault="009A55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7D933009BAA0461CB5555E85AD55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A003-2126-4730-9D4F-4F94BAE8AB4F}"/>
      </w:docPartPr>
      <w:docPartBody>
        <w:p w:rsidR="008A2388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0266E83DDDED4F8FB7224C43D280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9D9A-F803-462C-AF0D-2049133D1072}"/>
      </w:docPartPr>
      <w:docPartBody>
        <w:p w:rsidR="008A2388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03A583E112CE46168C24A88537E3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5C9E-8187-4072-BAC5-919D673DEB88}"/>
      </w:docPartPr>
      <w:docPartBody>
        <w:p w:rsidR="008A2388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9BFC6FF5BC4340E295C12BE8570C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D964-4F30-404B-B966-D5484DE9224F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A759A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61768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E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2568-4277-4991-AA8E-3B88FFF7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743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sudaporn arthan</cp:lastModifiedBy>
  <cp:revision>85</cp:revision>
  <cp:lastPrinted>2017-08-31T09:50:00Z</cp:lastPrinted>
  <dcterms:created xsi:type="dcterms:W3CDTF">2018-10-04T07:36:00Z</dcterms:created>
  <dcterms:modified xsi:type="dcterms:W3CDTF">2018-10-22T03:00:00Z</dcterms:modified>
</cp:coreProperties>
</file>